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23 NOVIEMBRE 2017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IIIII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3ª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Trabajar con pautas de creación que nos permitan salir del imaginario ya conocido y explorar cuerpos no humanos.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Música (Paula busca una canción para los animales)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Por el espacio cada uno explora el animal que quiere ser. Baila como ese animal, suena como ese animal, hace una acción como ese animal.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Hacemos un círculo se pone una comida en el medio, salen dos voluntarios y tienen que enfrentarse por la comida, gana el animal que es más fuerte en el mundo animal.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 modo de desfile, se presenta cada uno como ese animal y realiza las acciones 3 acciones que haría ese animal y mientras los demás van animando (hacemos un par de rondas)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Todos juntos, hacemos un ritmo al mismo tiempo, y a la indicación del tallerista salen los animales y hacen sus acciones, así sucesivamente hasta que hayan salido todos.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Ej) Agua -  salen todos los animales de agua y hacen sus movimientos.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Joana tuvo un conflicto con Samuel.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Los gemelos suelen quedarse más con el rol de poner la música, ¿cómo convertir esta tarea en algo que les pueda servir para experimentar y retarse?  ---- que en la clase trabajemos un poco más por rincones y haya diferentes tareas y responsabilidades diferentes.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Funcionaron bastante bien las dinámicas, se dio pie a una creación-improvisada entre todos. Aprender a proponer al grupo con cierto orden. Funcionó muy bien no salir de la ficción en todo el ejercicio. Encarnado a los animales “se olvidaron de ellos mismos”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Orgullo de raza --- los gitanos los mejores, ¿como trabajar esto?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Fichas actividad: Teoría de Conjuntos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Manuel Nuñez de Arenas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